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Executive Compliance Dashboard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Acme Inc | Assessment Date: 2026-03-19 | Project: nextjs-saas-example</w:t>
      </w:r>
    </w:p>
    <w:p>
      <w:pPr>
        <w:ind w:left="720"/>
      </w:pPr>
      <w:r>
        <w:rPr>
          <w:i/>
          <w:color w:val="666666"/>
        </w:rPr>
        <w:t xml:space="preserve">One-page compliance overview for executive leadership. This dashboard provides a high-level view of regulatory compliance status, key risks, and upcoming deadlines.</w:t>
      </w:r>
    </w:p>
    <w:p>
      <w:pPr>
        <w:pStyle w:val="Heading2"/>
      </w:pPr>
      <w:r>
        <w:t>Regulatory Status</w:t>
      </w:r>
    </w:p>
    <w:p>
      <w:r>
        <w:rPr>
          <w:sz w:val="20"/>
        </w:rPr>
        <w:t xml:space="preserve">Status  |  Regulation  |  Assessment  |  Summary</w:t>
      </w:r>
    </w:p>
    <w:p>
      <w:r>
        <w:rPr>
          <w:sz w:val="20"/>
        </w:rPr>
        <w:t xml:space="preserve">🟡  |  **GDPR**  |  Review Needed  |  Data processors detected. Assess whether GDPR applies to your user base.</w:t>
      </w:r>
    </w:p>
    <w:p>
      <w:r>
        <w:rPr>
          <w:sz w:val="20"/>
        </w:rPr>
        <w:t xml:space="preserve">🟡  |  **CCPA**  |  Action Required  |  Analytics/advertising services detected. "Do Not Sell" opt-out mechanism required for CA users.</w:t>
      </w:r>
    </w:p>
    <w:p>
      <w:r>
        <w:rPr>
          <w:sz w:val="20"/>
        </w:rPr>
        <w:t xml:space="preserve">🟡  |  **EU AI Act**  |  Transparency Required  |  1 AI service(s) detected. Transparency obligations apply under Art. 52.</w:t>
      </w:r>
    </w:p>
    <w:p>
      <w:r>
        <w:rPr>
          <w:sz w:val="20"/>
        </w:rPr>
        <w:t xml:space="preserve">🟡  |  **PCI DSS**  |  Compliance Required  |  2 payment service(s) detected (stripe, stripe-ios). SAQ completion required.</w:t>
      </w:r>
    </w:p>
    <w:p>
      <w:r>
        <w:rPr>
          <w:sz w:val="20"/>
        </w:rPr>
        <w:t xml:space="preserve">🟢  |  **HIPAA**  |  Not Applicable  |  No health data processing indicators detected.</w:t>
      </w:r>
    </w:p>
    <w:p>
      <w:pPr>
        <w:pStyle w:val="Heading2"/>
      </w:pPr>
      <w:r>
        <w:t>Quick Stats</w:t>
      </w:r>
    </w:p>
    <w:p>
      <w:r>
        <w:rPr>
          <w:sz w:val="20"/>
        </w:rPr>
        <w:t xml:space="preserve">Metric  |  Count</w:t>
      </w:r>
    </w:p>
    <w:p>
      <w:r>
        <w:rPr>
          <w:sz w:val="20"/>
        </w:rPr>
        <w:t xml:space="preserve">Third-Party Data Processors  |  8</w:t>
      </w:r>
    </w:p>
    <w:p>
      <w:r>
        <w:rPr>
          <w:sz w:val="20"/>
        </w:rPr>
        <w:t xml:space="preserve">Data Categories Collected  |  9</w:t>
      </w:r>
    </w:p>
    <w:p>
      <w:r>
        <w:rPr>
          <w:sz w:val="20"/>
        </w:rPr>
        <w:t xml:space="preserve">Regulations: Action Required  |  4</w:t>
      </w:r>
    </w:p>
    <w:p>
      <w:r>
        <w:rPr>
          <w:sz w:val="20"/>
        </w:rPr>
        <w:t xml:space="preserve">Regulations: Compliant  |  1</w:t>
      </w:r>
    </w:p>
    <w:p>
      <w:pPr>
        <w:pStyle w:val="Heading2"/>
      </w:pPr>
      <w:r>
        <w:t>Top Risks</w:t>
      </w:r>
    </w:p>
    <w:p>
      <w:r>
        <w:rPr>
          <w:sz w:val="20"/>
        </w:rPr>
        <w:t xml:space="preserve">#  |  Risk  |  Potential Impact  |  Description</w:t>
      </w:r>
    </w:p>
    <w:p>
      <w:r>
        <w:rPr>
          <w:sz w:val="20"/>
        </w:rPr>
        <w:t xml:space="preserve">1  |  **Data Breach Across Multiple Processors**  |  Up to $7,500 per violation (CCPA)  |  8 third-party data processors increase attack surface. Each processor represents a potential breach vector.</w:t>
      </w:r>
    </w:p>
    <w:p>
      <w:r>
        <w:rPr>
          <w:sz w:val="20"/>
        </w:rPr>
        <w:t xml:space="preserve">2  |  **Non-Compliant AI Deployment**  |  Up to EUR 35M or 7% of global turnover (EU AI Act)  |  AI services without proper transparency disclosures and risk assessments.</w:t>
      </w:r>
    </w:p>
    <w:p>
      <w:r>
        <w:rPr>
          <w:sz w:val="20"/>
        </w:rPr>
        <w:t xml:space="preserve">3  |  **Inadequate Cookie/Tracking Consent**  |  Up to EUR 20M or 4% of turnover (GDPR ePrivacy)  |  Analytics and advertising trackers detected without verified consent mechanisms.</w:t>
      </w:r>
    </w:p>
    <w:p>
      <w:pPr>
        <w:pStyle w:val="Heading2"/>
      </w:pPr>
      <w:r>
        <w:t>Upcoming Deadlines</w:t>
      </w:r>
    </w:p>
    <w:p>
      <w:r>
        <w:rPr>
          <w:sz w:val="20"/>
        </w:rPr>
        <w:t xml:space="preserve">Date  |  Regulation  |  Action Required</w:t>
      </w:r>
    </w:p>
    <w:p>
      <w:r>
        <w:rPr>
          <w:sz w:val="20"/>
        </w:rPr>
        <w:t xml:space="preserve">2026-06-01  |  General  |  Quarterly privacy policy and terms of service review</w:t>
      </w:r>
    </w:p>
    <w:p>
      <w:r>
        <w:rPr>
          <w:sz w:val="20"/>
        </w:rPr>
        <w:t xml:space="preserve">2026-08-02  |  EU AI Act  |  Full EU AI Act enforcement begins. Ensure AI transparency and risk classification.</w:t>
      </w:r>
    </w:p>
    <w:p>
      <w:r>
        <w:rPr>
          <w:sz w:val="20"/>
        </w:rPr>
        <w:t xml:space="preserve">2026-12-31  |  PCI DSS  |  Complete annual Self-Assessment Questionnaire (SAQ)</w:t>
      </w:r>
    </w:p>
    <w:p>
      <w:r>
        <w:rPr>
          <w:sz w:val="20"/>
        </w:rPr>
        <w:t xml:space="preserve">2027-01-31  |  All  |  Annual compliance review and document refresh</w:t>
      </w:r>
    </w:p>
    <w:p>
      <w:pPr>
        <w:pStyle w:val="Heading2"/>
      </w:pPr>
      <w:r>
        <w:t>Recommended Actions</w:t>
      </w:r>
    </w:p>
    <w:p>
      <w:pPr>
        <w:pStyle w:val="ListParagraph"/>
        <w:numPr>
          <w:ilvl w:val="0"/>
          <w:numId w:val="2"/>
        </w:numPr>
      </w:pPr>
      <w:r>
        <w:t xml:space="preserve">**Short-term:** Review 4 regulation(s) requiring action within 90 days</w:t>
      </w:r>
    </w:p>
    <w:p>
      <w:pPr>
        <w:pStyle w:val="ListParagraph"/>
        <w:numPr>
          <w:ilvl w:val="0"/>
          <w:numId w:val="2"/>
        </w:numPr>
      </w:pPr>
      <w:r>
        <w:t xml:space="preserve">**Ongoing:** Schedule quarterly compliance reviews with legal counsel</w:t>
      </w:r>
    </w:p>
    <w:p>
      <w:pPr>
        <w:pStyle w:val="ListParagraph"/>
        <w:numPr>
          <w:ilvl w:val="0"/>
          <w:numId w:val="2"/>
        </w:numPr>
      </w:pPr>
      <w:r>
        <w:t xml:space="preserve">**Ongoing:** Maintain all generated compliance documents as services change</w:t>
      </w:r>
    </w:p>
    <w:p>
      <w:pPr>
        <w:pBdr>
          <w:bottom w:val="single" w:sz="6" w:space="1" w:color="999999"/>
        </w:pBdr>
      </w:pPr>
    </w:p>
    <w:p>
      <w:r>
        <w:t xml:space="preserve">Generated by Codepliant v180.0.0 on 2026-03-19. This document should be reviewed by a qualified professional. See also: [Compliance Notes](COMPLIANCENOTES.md), [Risk Register](RISKREGISTER.md), [Compliance Timeline](COMPLIANCE_TIMELINE.md).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